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B4B3" w14:textId="77777777"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A055BB">
        <w:rPr>
          <w:rFonts w:eastAsia="MS Gothic"/>
          <w:b/>
          <w:caps/>
          <w:color w:val="323E4F"/>
          <w:spacing w:val="-10"/>
          <w:sz w:val="68"/>
          <w:szCs w:val="68"/>
        </w:rPr>
        <w:t>FYZIKA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14:paraId="13703715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14:paraId="52FDE470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14:paraId="71318549" w14:textId="2E911E45"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774475DD" w14:textId="77777777" w:rsidR="009C034C" w:rsidRPr="00D437DA" w:rsidRDefault="009C034C" w:rsidP="009C034C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10430C88" w14:textId="77777777" w:rsidR="009C034C" w:rsidRPr="009C034C" w:rsidRDefault="009C034C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13D3313E" w14:textId="4800D69E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Štarková </w:t>
      </w:r>
    </w:p>
    <w:p w14:paraId="633650B3" w14:textId="77777777" w:rsidR="00505711" w:rsidRDefault="00505711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2814C468" w14:textId="393C18E3" w:rsidR="00893DD2" w:rsidRDefault="00343C11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9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505711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505711">
        <w:rPr>
          <w:b/>
          <w:color w:val="323E4F"/>
          <w:spacing w:val="-10"/>
          <w:sz w:val="36"/>
          <w:szCs w:val="36"/>
        </w:rPr>
        <w:t>13.09.</w:t>
      </w:r>
      <w:r>
        <w:rPr>
          <w:b/>
          <w:color w:val="323E4F"/>
          <w:spacing w:val="-10"/>
          <w:sz w:val="36"/>
          <w:szCs w:val="36"/>
        </w:rPr>
        <w:t>2021</w:t>
      </w:r>
    </w:p>
    <w:p w14:paraId="3FBF9C0E" w14:textId="77777777"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40E6632C" w14:textId="77777777"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14:paraId="61777137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3E3F29D7" w14:textId="77777777"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1834F54C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42B3366E" w14:textId="77777777" w:rsidR="00343C11" w:rsidRDefault="00343C11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03C0149" w14:textId="39CB03C1" w:rsidR="00985205" w:rsidRDefault="00505711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t xml:space="preserve">UČEBNÉ OSNOVY </w:t>
      </w:r>
      <w:r w:rsidR="00985205">
        <w:rPr>
          <w:rFonts w:ascii="Calibri" w:hAnsi="Calibri"/>
          <w:b/>
          <w:spacing w:val="-10"/>
          <w:szCs w:val="24"/>
        </w:rPr>
        <w:t xml:space="preserve">- </w:t>
      </w:r>
      <w:r w:rsidR="00A055BB">
        <w:rPr>
          <w:rFonts w:ascii="Calibri" w:hAnsi="Calibri"/>
          <w:b/>
          <w:spacing w:val="-10"/>
          <w:szCs w:val="24"/>
        </w:rPr>
        <w:t>FYZIKA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43C11">
        <w:rPr>
          <w:rFonts w:ascii="Calibri" w:hAnsi="Calibri"/>
          <w:b/>
          <w:spacing w:val="-10"/>
          <w:szCs w:val="24"/>
        </w:rPr>
        <w:t>9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14:paraId="490A39DE" w14:textId="3EBBB145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8E9E78E" w14:textId="77777777" w:rsidR="00505711" w:rsidRPr="00393837" w:rsidRDefault="00505711" w:rsidP="00505711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6064E4DC" w14:textId="77777777" w:rsidR="00505711" w:rsidRPr="00393837" w:rsidRDefault="00505711" w:rsidP="00505711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deviaty</w:t>
      </w:r>
    </w:p>
    <w:p w14:paraId="19ACC78E" w14:textId="2CF6A084" w:rsidR="00505711" w:rsidRDefault="00505711" w:rsidP="00505711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>
        <w:rPr>
          <w:rFonts w:ascii="Calibri" w:hAnsi="Calibri"/>
          <w:b/>
          <w:bCs/>
          <w:spacing w:val="-10"/>
          <w:sz w:val="22"/>
        </w:rPr>
        <w:t>1</w:t>
      </w:r>
      <w:r>
        <w:rPr>
          <w:rFonts w:ascii="Calibri" w:hAnsi="Calibri"/>
          <w:b/>
          <w:bCs/>
          <w:spacing w:val="-10"/>
          <w:sz w:val="22"/>
        </w:rPr>
        <w:t xml:space="preserve"> hodin</w:t>
      </w:r>
      <w:r>
        <w:rPr>
          <w:rFonts w:ascii="Calibri" w:hAnsi="Calibri"/>
          <w:b/>
          <w:bCs/>
          <w:spacing w:val="-10"/>
          <w:sz w:val="22"/>
        </w:rPr>
        <w:t>a</w:t>
      </w:r>
      <w:r>
        <w:rPr>
          <w:rFonts w:ascii="Calibri" w:hAnsi="Calibri"/>
          <w:b/>
          <w:bCs/>
          <w:spacing w:val="-10"/>
          <w:sz w:val="22"/>
        </w:rPr>
        <w:t xml:space="preserve"> týždenne – </w:t>
      </w:r>
      <w:r>
        <w:rPr>
          <w:rFonts w:ascii="Calibri" w:hAnsi="Calibri"/>
          <w:b/>
          <w:bCs/>
          <w:spacing w:val="-10"/>
          <w:sz w:val="22"/>
        </w:rPr>
        <w:t xml:space="preserve"> 33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418C8639" w14:textId="47061099" w:rsidR="00505711" w:rsidRDefault="00505711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4EB799E5" w14:textId="7497B7A3" w:rsidR="00505711" w:rsidRDefault="00505711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B6CD30F" w14:textId="77777777" w:rsidR="00505711" w:rsidRDefault="00505711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85AC64D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3D764AD8" w14:textId="3C5BD828" w:rsidR="00DB0885" w:rsidRDefault="00A055BB" w:rsidP="00985205">
      <w:pPr>
        <w:ind w:left="0" w:firstLine="0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Učivo fyziky je zamerané na objasnenie základných pojmov </w:t>
      </w:r>
      <w:r>
        <w:rPr>
          <w:spacing w:val="-10"/>
          <w:sz w:val="20"/>
          <w:szCs w:val="20"/>
        </w:rPr>
        <w:t>a javov z odboru fyziky.</w:t>
      </w:r>
      <w:r w:rsidRPr="00A055BB">
        <w:rPr>
          <w:spacing w:val="-10"/>
          <w:sz w:val="20"/>
          <w:szCs w:val="20"/>
        </w:rPr>
        <w:t xml:space="preserve"> Štruktúru obsahu fyziky tvoria tematické celky, v ktorých si žiaci osvojujú sústavu vybraných faktov, javov a pojmov. Učia sa fyzikálne javy pozorovať, opísať, odmerať hodnoty fyzikálnych veličín a meranie vyhodnotiť. Osvojujú si zavedenú terminológiu a symboliku, základné vzťahy medzi fyzikou, matematikou a ostatnými prírodnými vedami. Žiaci si osvojujú dôležité hodnoty, postoje a návyky, správanie sa k prírode a k sebe.  Pri vyučovaní fyziky je potrebné  opierať sa o zmyslové vnímanie predmetov a javov ako o základ pre utváranie predstáv a pojmov u mentálne postihnutých žiakov. Názornosť je najdôležitejšia zásada pri vyučovaní fyziky. Nové učivo učiteľ vys</w:t>
      </w:r>
      <w:r>
        <w:rPr>
          <w:spacing w:val="-10"/>
          <w:sz w:val="20"/>
          <w:szCs w:val="20"/>
        </w:rPr>
        <w:t>vetľuje najmä demonštračnou metó</w:t>
      </w:r>
      <w:r w:rsidRPr="00A055BB">
        <w:rPr>
          <w:spacing w:val="-10"/>
          <w:sz w:val="20"/>
          <w:szCs w:val="20"/>
        </w:rPr>
        <w:t xml:space="preserve">dou, pri ktorej sa žiaci učia slovne opísať pozorovaný jav. Žiaci merajú, vážia, pripravujú podmienky pre pokusy a vykonávajú také činnosti, ktoré využívajú v praktickom živote. Všetky činnosti robia žiaci v malých skupinách alebo vo dvojiciach. Učia sa spolupracovať, dorozumievať sa pri práci a spoločne niesť zodpovednosť za jej výsledok.   </w:t>
      </w:r>
    </w:p>
    <w:p w14:paraId="2A805697" w14:textId="1886B374" w:rsidR="00505711" w:rsidRDefault="00505711" w:rsidP="00985205">
      <w:pPr>
        <w:ind w:left="0" w:firstLine="0"/>
        <w:rPr>
          <w:spacing w:val="-10"/>
          <w:sz w:val="20"/>
          <w:szCs w:val="20"/>
        </w:rPr>
      </w:pPr>
    </w:p>
    <w:p w14:paraId="029F1F65" w14:textId="77777777" w:rsidR="00505711" w:rsidRDefault="00505711" w:rsidP="00985205">
      <w:pPr>
        <w:ind w:left="0" w:firstLine="0"/>
        <w:rPr>
          <w:spacing w:val="-10"/>
          <w:sz w:val="20"/>
          <w:szCs w:val="20"/>
        </w:rPr>
      </w:pPr>
    </w:p>
    <w:p w14:paraId="7E221642" w14:textId="77777777" w:rsidR="00985205" w:rsidRPr="00505711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05711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7CBCE15A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experimentálne overiť magnetické vlastnosti magnetov,                                                             </w:t>
      </w:r>
    </w:p>
    <w:p w14:paraId="751E31CD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experimentom dokázať jav elektrizovania telies,  </w:t>
      </w:r>
    </w:p>
    <w:p w14:paraId="22698C45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zostaviť elektrický obvod so žiarovkou,  </w:t>
      </w:r>
    </w:p>
    <w:p w14:paraId="46370437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triediť vybrané pevné telesá na elektrické vodiče a izolanty, </w:t>
      </w:r>
    </w:p>
    <w:p w14:paraId="47A980F4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bezpečnostné pravidlá pri práci s elektrickými spotrebičmi, </w:t>
      </w:r>
    </w:p>
    <w:p w14:paraId="4CC4FBB6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odmerať veľkosť prúdu a napätia v elektrickom obvode, </w:t>
      </w:r>
    </w:p>
    <w:p w14:paraId="3BF9649C" w14:textId="77777777" w:rsid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 xml:space="preserve">– vedieť opísať premenu energie na vybraných prírodných javoch,  </w:t>
      </w:r>
    </w:p>
    <w:p w14:paraId="6995994C" w14:textId="77777777" w:rsidR="00985205" w:rsidRPr="00A055BB" w:rsidRDefault="00A055BB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A055BB">
        <w:rPr>
          <w:spacing w:val="-10"/>
          <w:sz w:val="20"/>
          <w:szCs w:val="20"/>
        </w:rPr>
        <w:t>– vedieť vymenovať dnes využívané prírodné zdroje energie a opísať spôsob ich využitia.</w:t>
      </w:r>
    </w:p>
    <w:p w14:paraId="2B26F6A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0D0B8FD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255795C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41D81C9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B08BACF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8F3794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8C9649D" w14:textId="77777777" w:rsidR="00BA406B" w:rsidRDefault="00A4604C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deviaty</w:t>
      </w:r>
    </w:p>
    <w:p w14:paraId="4125B8C5" w14:textId="4E68A1E0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DB0885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</w:t>
      </w:r>
      <w:r w:rsidR="00505711">
        <w:rPr>
          <w:rFonts w:ascii="Calibri" w:hAnsi="Calibri"/>
          <w:b/>
          <w:spacing w:val="-10"/>
          <w:sz w:val="28"/>
          <w:szCs w:val="28"/>
        </w:rPr>
        <w:t>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DB088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p w14:paraId="5F2E4052" w14:textId="77777777"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14:paraId="4B19CBB3" w14:textId="77777777" w:rsidR="00505711" w:rsidRPr="00505711" w:rsidRDefault="00505711" w:rsidP="00505711">
      <w:pPr>
        <w:pStyle w:val="Stlus1"/>
        <w:shd w:val="clear" w:color="auto" w:fill="FFFF00"/>
        <w:rPr>
          <w:sz w:val="24"/>
          <w:szCs w:val="24"/>
        </w:rPr>
      </w:pPr>
      <w:r w:rsidRPr="00505711">
        <w:rPr>
          <w:sz w:val="24"/>
          <w:szCs w:val="24"/>
        </w:rPr>
        <w:t>Učebné osnovy sú totožné so vzdelávacím štandardom ŠVP pre daný predmet</w:t>
      </w:r>
    </w:p>
    <w:p w14:paraId="0C667311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14:paraId="3BCE1C4D" w14:textId="77777777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1E7F83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240EBA28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0843C8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C1D32CA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7322EC5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392F08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14:paraId="7A2A0503" w14:textId="77777777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7A01" w14:textId="77777777" w:rsidR="00A4604C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F575DF" w14:textId="3645FAE2" w:rsidR="00A4604C" w:rsidRDefault="00505711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33</w:t>
            </w:r>
          </w:p>
          <w:p w14:paraId="10B7A915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0DE3F87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9380107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48C1B13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DF75DD9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5D845A4" w14:textId="77777777" w:rsidR="00AB0144" w:rsidRPr="00AB0144" w:rsidRDefault="00AB0144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8F6E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Človek a príroda</w:t>
            </w:r>
          </w:p>
          <w:p w14:paraId="352F2356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6B72CE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203D7F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E42A4B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8377482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27D8367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4270101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75E3D22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1CEA" w14:textId="77777777" w:rsidR="00AB0144" w:rsidRDefault="00A055BB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055BB">
              <w:rPr>
                <w:rFonts w:asciiTheme="minorHAnsi" w:hAnsiTheme="minorHAnsi"/>
                <w:b w:val="0"/>
                <w:sz w:val="20"/>
                <w:szCs w:val="20"/>
              </w:rPr>
              <w:t>Magnetické a elektrické javy. Elektrická energia.</w:t>
            </w:r>
          </w:p>
          <w:p w14:paraId="59CE157F" w14:textId="77777777" w:rsidR="000F386A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21B96D5" w14:textId="77777777" w:rsidR="000F386A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7764039" w14:textId="77777777" w:rsidR="000F386A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E8A9230" w14:textId="77777777" w:rsidR="000F386A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5172038" w14:textId="77777777" w:rsidR="000F386A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33BC395" w14:textId="77777777" w:rsidR="000F386A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6CB10A9" w14:textId="77777777" w:rsidR="000F386A" w:rsidRPr="00AB0144" w:rsidRDefault="000F386A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055BB">
              <w:rPr>
                <w:rFonts w:asciiTheme="minorHAnsi" w:hAnsiTheme="minorHAnsi"/>
                <w:b w:val="0"/>
                <w:sz w:val="20"/>
                <w:szCs w:val="20"/>
              </w:rPr>
              <w:t>Energia v prírode a v technike.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B97" w14:textId="77777777" w:rsidR="00AB0144" w:rsidRDefault="00A055B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055BB">
              <w:rPr>
                <w:rFonts w:asciiTheme="minorHAnsi" w:hAnsiTheme="minorHAnsi"/>
                <w:sz w:val="20"/>
                <w:szCs w:val="20"/>
              </w:rPr>
              <w:t xml:space="preserve">Žiaci sa učia určovať póly a vlastnosti magnetu, určujú svetové strany podľa kompasu. Poznávajú praktické využitie  elektromagnetu.  V manuálnych činnostiach zostavujú elektrický obvod,  zapájajú  elektrický zvonček do elektrického obvodu, v praktických činnostiach používajú voltmeter a ampérmeter, zapisujú si namerané hodnoty. Precvičujú si manuálne činnosti ako výmena žiarovky, zapojenie elektrického spotrebiča, výmena monočlánku.  </w:t>
            </w:r>
          </w:p>
          <w:p w14:paraId="4DD71289" w14:textId="77777777" w:rsidR="00A4604C" w:rsidRPr="00A4604C" w:rsidRDefault="00A4604C" w:rsidP="00AB0144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EEEF413" w14:textId="77777777" w:rsidR="00A4604C" w:rsidRPr="00A4604C" w:rsidRDefault="00A4604C" w:rsidP="00AB0144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01662BB" w14:textId="77777777" w:rsidR="00A4604C" w:rsidRPr="00A4604C" w:rsidRDefault="00A4604C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5D67401" w14:textId="77777777" w:rsidR="00A4604C" w:rsidRPr="00AB0144" w:rsidRDefault="00A4604C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1C8E" w14:textId="77777777" w:rsidR="00A055BB" w:rsidRPr="00A055BB" w:rsidRDefault="00A055BB" w:rsidP="00A055BB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055BB">
              <w:rPr>
                <w:rFonts w:asciiTheme="minorHAnsi" w:hAnsiTheme="minorHAnsi"/>
                <w:b w:val="0"/>
                <w:sz w:val="20"/>
                <w:szCs w:val="20"/>
              </w:rPr>
              <w:t xml:space="preserve">Magnet a jeho vlastnosti. Magnetické póly Zeme. Kompas. Elektrické vlastnosti látok. Blesk. Elektrický obvod a jeho časti: elektrický článok, batéria elektrických článkov, žiarovka, spínač, spojovacie vodiče. Elektrické vodiče a izolanty. Vedenie elektrického prúdu v kvapalinách. Sériové a paralerné zapojenie žiaroviek. Meranie veľkosti elektrického prúdu ampérmetrom. Jednotka veľkosti el. prúdu 1 A. Meranie veľkosti elektrického napätia. Jednotka napätia 1 V. Elektromagnet. Elektrický zvonček. Elektrické spotrebiče v domácnosti. Pravidlá bezpečnosti pri zaobchádzaní s elektrickými zariadeniami. Premena energie elektrického prúdu.  </w:t>
            </w:r>
          </w:p>
          <w:p w14:paraId="00AD7DC2" w14:textId="77777777" w:rsidR="000F386A" w:rsidRDefault="000F386A" w:rsidP="00A055BB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ABE2CDB" w14:textId="77777777" w:rsidR="001C43CC" w:rsidRDefault="00A055BB" w:rsidP="00A055BB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055BB">
              <w:rPr>
                <w:rFonts w:asciiTheme="minorHAnsi" w:hAnsiTheme="minorHAnsi"/>
                <w:b w:val="0"/>
                <w:sz w:val="20"/>
                <w:szCs w:val="20"/>
              </w:rPr>
              <w:t xml:space="preserve">Energia v prírode Slnko ako zdroj energie. Jednotka energie. Potrava ako zdroj energie. Vznik fosílnych palív. Energia, ktorú nevieme využiť- elektrický výboj pri búrke, sopečná činnosť, zemetrasenie. Energia v technike Tradičné zdroje energie: využívanie fosílnych palív; tepelné, vodné a jadrové elektrárne. Netradičné zdroje energie: využitie slnečnej energie, geotermálnej energie a energie vetra. Zákon zachovania energie. Spotreba a racionálne hospodárenie s energiou.  </w:t>
            </w:r>
          </w:p>
          <w:p w14:paraId="0CCB9BF0" w14:textId="77777777" w:rsidR="00A4604C" w:rsidRPr="001C43CC" w:rsidRDefault="00A4604C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B0144" w14:paraId="3C338CCE" w14:textId="77777777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90F3CD6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14:paraId="189DBFD3" w14:textId="77777777"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D292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14:paraId="5D9F31D5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14:paraId="3F47AFE4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14:paraId="7BCF0D07" w14:textId="77777777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0AD7F8C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3B02E6FD" w14:textId="77777777"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C89" w14:textId="77777777"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14:paraId="1A3EF1CD" w14:textId="77777777"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14:paraId="5133B14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725458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BE8A66D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7459CC2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49B8D61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E8B7FF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58B98D6F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0C48" w14:textId="77777777" w:rsidR="00E26126" w:rsidRDefault="00E26126" w:rsidP="00985205">
      <w:pPr>
        <w:spacing w:after="0" w:line="240" w:lineRule="auto"/>
      </w:pPr>
      <w:r>
        <w:separator/>
      </w:r>
    </w:p>
  </w:endnote>
  <w:endnote w:type="continuationSeparator" w:id="0">
    <w:p w14:paraId="1E682ED2" w14:textId="77777777" w:rsidR="00E26126" w:rsidRDefault="00E26126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2A3" w14:textId="77777777" w:rsidR="00343C11" w:rsidRDefault="00343C11" w:rsidP="00343C11">
    <w:pPr>
      <w:pStyle w:val="Strednmrieka21"/>
      <w:rPr>
        <w:b/>
        <w:color w:val="323E4F"/>
        <w:sz w:val="24"/>
        <w:szCs w:val="24"/>
      </w:rPr>
    </w:pPr>
  </w:p>
  <w:p w14:paraId="77CF00F8" w14:textId="77777777" w:rsidR="00985205" w:rsidRDefault="00985205" w:rsidP="00343C11">
    <w:pPr>
      <w:pStyle w:val="Strednmrieka21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14:paraId="5B6530BD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BF94" w14:textId="77777777" w:rsidR="00E26126" w:rsidRDefault="00E26126" w:rsidP="00985205">
      <w:pPr>
        <w:spacing w:after="0" w:line="240" w:lineRule="auto"/>
      </w:pPr>
      <w:r>
        <w:separator/>
      </w:r>
    </w:p>
  </w:footnote>
  <w:footnote w:type="continuationSeparator" w:id="0">
    <w:p w14:paraId="22FF4BA8" w14:textId="77777777" w:rsidR="00E26126" w:rsidRDefault="00E26126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25E3" w14:textId="77777777"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 w:rsidR="00985205">
      <w:rPr>
        <w:rFonts w:ascii="Calibri" w:hAnsi="Calibri"/>
        <w:b/>
        <w:spacing w:val="-10"/>
        <w:sz w:val="20"/>
      </w:rPr>
      <w:t>Moldava nad Bodvou - Szepsi</w:t>
    </w:r>
  </w:p>
  <w:p w14:paraId="110D3E7C" w14:textId="77777777"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A055BB">
      <w:rPr>
        <w:rFonts w:ascii="Calibri" w:hAnsi="Calibri"/>
        <w:b/>
        <w:spacing w:val="-10"/>
        <w:sz w:val="20"/>
      </w:rPr>
      <w:t>Fyzika</w:t>
    </w:r>
    <w:r w:rsidR="00343C11">
      <w:rPr>
        <w:rFonts w:ascii="Calibri" w:hAnsi="Calibri"/>
        <w:b/>
        <w:spacing w:val="-10"/>
        <w:sz w:val="20"/>
      </w:rPr>
      <w:t xml:space="preserve"> 9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14:paraId="4422E20B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A9E42B4"/>
    <w:multiLevelType w:val="hybridMultilevel"/>
    <w:tmpl w:val="EBA244B0"/>
    <w:lvl w:ilvl="0" w:tplc="90B2684E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23B7"/>
    <w:multiLevelType w:val="hybridMultilevel"/>
    <w:tmpl w:val="40FA1F46"/>
    <w:lvl w:ilvl="0" w:tplc="909C455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031795"/>
    <w:rsid w:val="000F386A"/>
    <w:rsid w:val="001C43CC"/>
    <w:rsid w:val="00343C11"/>
    <w:rsid w:val="00391086"/>
    <w:rsid w:val="003B0416"/>
    <w:rsid w:val="00433B98"/>
    <w:rsid w:val="00460EC7"/>
    <w:rsid w:val="00505711"/>
    <w:rsid w:val="00537925"/>
    <w:rsid w:val="005403DC"/>
    <w:rsid w:val="005C7ABB"/>
    <w:rsid w:val="00633B14"/>
    <w:rsid w:val="00671BD8"/>
    <w:rsid w:val="00707D39"/>
    <w:rsid w:val="00793E6B"/>
    <w:rsid w:val="00813B95"/>
    <w:rsid w:val="008256BE"/>
    <w:rsid w:val="00893DD2"/>
    <w:rsid w:val="00956131"/>
    <w:rsid w:val="00964F43"/>
    <w:rsid w:val="00985205"/>
    <w:rsid w:val="009B7B57"/>
    <w:rsid w:val="009C034C"/>
    <w:rsid w:val="00A055BB"/>
    <w:rsid w:val="00A4604C"/>
    <w:rsid w:val="00A53720"/>
    <w:rsid w:val="00AA1B6C"/>
    <w:rsid w:val="00AB0144"/>
    <w:rsid w:val="00AF6556"/>
    <w:rsid w:val="00BA406B"/>
    <w:rsid w:val="00C3565C"/>
    <w:rsid w:val="00C90BA7"/>
    <w:rsid w:val="00CE70F1"/>
    <w:rsid w:val="00D73BA7"/>
    <w:rsid w:val="00D95955"/>
    <w:rsid w:val="00DB0885"/>
    <w:rsid w:val="00DC016D"/>
    <w:rsid w:val="00E12DD6"/>
    <w:rsid w:val="00E26126"/>
    <w:rsid w:val="00EB42D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14AE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3</cp:revision>
  <dcterms:created xsi:type="dcterms:W3CDTF">2021-08-30T15:27:00Z</dcterms:created>
  <dcterms:modified xsi:type="dcterms:W3CDTF">2021-08-30T17:37:00Z</dcterms:modified>
</cp:coreProperties>
</file>