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80" w:after="120"/>
        <w:jc w:val="center"/>
        <w:rPr/>
      </w:pPr>
      <w:r>
        <w:rPr/>
        <w:t>PROGRAM MOBILNOŚCI KADRY</w:t>
        <w:b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5"/>
        <w:gridCol w:w="6154"/>
      </w:tblGrid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Numer projektu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2018-1-PL01-KA101-047916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>Tytuł projektu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shd w:fill="FFFFFF" w:val="clear"/>
              </w:rPr>
              <w:t>Komunikacja - kooperacja, czyli zwiększanie</w:t>
            </w:r>
            <w:r>
              <w:rPr>
                <w:rFonts w:cs="Calibri" w:cstheme="minorHAnsi"/>
              </w:rPr>
              <w:br/>
            </w:r>
            <w:r>
              <w:rPr>
                <w:rFonts w:cs="Calibri" w:cstheme="minorHAnsi"/>
                <w:shd w:fill="FFFFFF" w:val="clear"/>
              </w:rPr>
              <w:t>współpracy transnarodowej dzięki zmniejszaniu barier komunikacyjnych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Cs/>
              </w:rPr>
              <w:t xml:space="preserve">Beneficjent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Szkoła Podstawowa im. Stefana Czarnieckiego w Reczu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spacing w:before="240" w:after="240"/>
        <w:ind w:left="306" w:hanging="0"/>
        <w:rPr>
          <w:spacing w:val="-1"/>
          <w:lang w:val="pl-PL"/>
        </w:rPr>
      </w:pPr>
      <w:r>
        <w:rPr>
          <w:lang w:val="pl-PL"/>
        </w:rPr>
        <w:t xml:space="preserve">1.CEL </w:t>
      </w:r>
      <w:r>
        <w:rPr>
          <w:spacing w:val="-1"/>
          <w:lang w:val="pl-PL"/>
        </w:rPr>
        <w:t>OGÓLNY:</w:t>
      </w:r>
    </w:p>
    <w:p>
      <w:pPr>
        <w:pStyle w:val="Nagwek1"/>
        <w:spacing w:before="240" w:after="240"/>
        <w:ind w:left="306" w:hanging="0"/>
        <w:rPr/>
      </w:pPr>
      <w:r>
        <w:rPr>
          <w:b w:val="false"/>
          <w:spacing w:val="-1"/>
          <w:lang w:val="pl-PL"/>
        </w:rPr>
        <w:t>Zwiększanie kompetencji metodycznych nauczycieli, zwiększanie zakresu użycia technologii informacyjno- komunikacyjnych, pozyskanie partnerów zagranicznych, wprowadzanie innowacyjnych metod nauczania, zwiększanie znajomości języków obcych wśród kadry nauczycieli.</w:t>
      </w:r>
    </w:p>
    <w:p>
      <w:pPr>
        <w:pStyle w:val="Nagwek1"/>
        <w:tabs>
          <w:tab w:val="clear" w:pos="708"/>
          <w:tab w:val="left" w:pos="897" w:leader="none"/>
        </w:tabs>
        <w:spacing w:before="600" w:after="120"/>
        <w:jc w:val="right"/>
        <w:rPr>
          <w:spacing w:val="-1"/>
        </w:rPr>
      </w:pPr>
      <w:r>
        <w:rPr>
          <w:spacing w:val="-1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Times New Roman"/>
          <w:b/>
          <w:b/>
          <w:sz w:val="24"/>
          <w:szCs w:val="24"/>
          <w:lang w:val="en-US"/>
        </w:rPr>
      </w:pPr>
      <w:r>
        <w:rPr>
          <w:b/>
          <w:spacing w:val="-1"/>
        </w:rPr>
        <w:t>TREŚCI KSZTAŁCENIA:</w:t>
      </w:r>
    </w:p>
    <w:p>
      <w:pPr>
        <w:pStyle w:val="Nagwek1"/>
        <w:tabs>
          <w:tab w:val="clear" w:pos="708"/>
          <w:tab w:val="left" w:pos="897" w:leader="none"/>
        </w:tabs>
        <w:spacing w:before="141" w:after="0"/>
        <w:ind w:left="896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260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Czas realizacji: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Treści kształcenia:</w:t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19.08.2019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Grammar-comparative adjectives, superlative adjectives.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Listening- someone talking about the journey of a ladybird.</w:t>
            </w:r>
          </w:p>
        </w:tc>
      </w:tr>
      <w:tr>
        <w:trPr>
          <w:trHeight w:val="1249" w:hRule="atLeast"/>
        </w:trPr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II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20.08.2019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Reading - an article about Animals yourneys an article about Columbia</w:t>
            </w:r>
            <w:r>
              <w:rPr>
                <w:rFonts w:cs="Calibri"/>
                <w:b w:val="false"/>
                <w:bCs w:val="false"/>
                <w:sz w:val="22"/>
                <w:szCs w:val="22"/>
                <w:lang w:val="pl-PL"/>
              </w:rPr>
              <w:t>’</w:t>
            </w:r>
            <w:r>
              <w:rPr>
                <w:b w:val="false"/>
                <w:bCs w:val="false"/>
                <w:sz w:val="22"/>
                <w:szCs w:val="22"/>
                <w:lang w:val="pl-PL"/>
              </w:rPr>
              <w:t>s cites.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Speaking- your opinion places you know you town.</w:t>
            </w:r>
          </w:p>
        </w:tc>
      </w:tr>
      <w:tr>
        <w:trPr>
          <w:trHeight w:val="1249" w:hRule="atLeast"/>
        </w:trPr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III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21.08.2019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Writing- a paragraph about your town.</w:t>
            </w:r>
          </w:p>
        </w:tc>
      </w:tr>
      <w:tr>
        <w:trPr>
          <w:trHeight w:val="1668" w:hRule="atLeast"/>
        </w:trPr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IV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22.08.2019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Vocabulary- adjectives about festivals, clothes, face and body.</w:t>
            </w:r>
          </w:p>
        </w:tc>
      </w:tr>
      <w:tr>
        <w:trPr>
          <w:trHeight w:val="1668" w:hRule="atLeast"/>
        </w:trPr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V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Style w:val="SubtleEmphasis"/>
                <w:i w:val="false"/>
                <w:color w:val="auto"/>
              </w:rPr>
              <w:t>23.08.2019</w:t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Reading- an article about a fashion business.</w:t>
            </w:r>
          </w:p>
        </w:tc>
      </w:tr>
      <w:tr>
        <w:trPr>
          <w:trHeight w:val="1668" w:hRule="atLeast"/>
        </w:trPr>
        <w:tc>
          <w:tcPr>
            <w:tcW w:w="1951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</w:tbl>
    <w:p>
      <w:pPr>
        <w:pStyle w:val="Nagwek1"/>
        <w:tabs>
          <w:tab w:val="clear" w:pos="708"/>
          <w:tab w:val="left" w:pos="897" w:leader="none"/>
        </w:tabs>
        <w:spacing w:before="600" w:after="120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gwek1"/>
        <w:tabs>
          <w:tab w:val="clear" w:pos="708"/>
          <w:tab w:val="left" w:pos="897" w:leader="none"/>
        </w:tabs>
        <w:spacing w:before="141" w:after="0"/>
        <w:ind w:left="896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260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Czasrealizacji: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Treśc ikształcenia:</w:t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VI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26.08.2019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Grammar- be going to (for plans) infinitive of purpose.</w:t>
            </w:r>
          </w:p>
        </w:tc>
      </w:tr>
      <w:tr>
        <w:trPr>
          <w:trHeight w:val="1668" w:hRule="atLeast"/>
        </w:trPr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VII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27.08.2019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Listening- someone tal king about a place for learning a news report about a memory champion.</w:t>
            </w:r>
          </w:p>
        </w:tc>
      </w:tr>
      <w:tr>
        <w:trPr>
          <w:trHeight w:val="1668" w:hRule="atLeast"/>
        </w:trPr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VIII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28.08.2019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Speaking- experiences with learning, explaining memory.</w:t>
            </w:r>
          </w:p>
        </w:tc>
      </w:tr>
      <w:tr>
        <w:trPr>
          <w:trHeight w:val="1668" w:hRule="atLeast"/>
        </w:trPr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IX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29.08.2019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Grammar- have to/ don</w:t>
            </w:r>
            <w:r>
              <w:rPr>
                <w:rFonts w:cs="Calibri"/>
                <w:b w:val="false"/>
                <w:bCs w:val="false"/>
                <w:sz w:val="22"/>
                <w:szCs w:val="22"/>
                <w:lang w:val="pl-PL"/>
              </w:rPr>
              <w:t>’</w:t>
            </w:r>
            <w:r>
              <w:rPr>
                <w:b w:val="false"/>
                <w:bCs w:val="false"/>
                <w:sz w:val="22"/>
                <w:szCs w:val="22"/>
                <w:lang w:val="pl-PL"/>
              </w:rPr>
              <w:t>t have to, can/ can</w:t>
            </w:r>
            <w:r>
              <w:rPr>
                <w:rFonts w:cs="Calibri"/>
                <w:b w:val="false"/>
                <w:bCs w:val="false"/>
                <w:sz w:val="22"/>
                <w:szCs w:val="22"/>
                <w:lang w:val="pl-PL"/>
              </w:rPr>
              <w:t>’t.</w:t>
            </w:r>
          </w:p>
        </w:tc>
      </w:tr>
      <w:tr>
        <w:trPr>
          <w:trHeight w:val="1668" w:hRule="atLeast"/>
        </w:trPr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X dzień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Style w:val="SubtleEmphasis"/>
                <w:i w:val="false"/>
                <w:color w:val="auto"/>
              </w:rPr>
              <w:t>30.08.2019</w:t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Speaking- rulet, ad vice for a tourist.</w:t>
            </w:r>
          </w:p>
        </w:tc>
      </w:tr>
      <w:tr>
        <w:trPr>
          <w:trHeight w:val="1668" w:hRule="atLeast"/>
        </w:trPr>
        <w:tc>
          <w:tcPr>
            <w:tcW w:w="1951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</w:tbl>
    <w:p>
      <w:pPr>
        <w:pStyle w:val="Nagwek1"/>
        <w:spacing w:before="480" w:after="0"/>
        <w:ind w:left="692" w:hanging="0"/>
        <w:jc w:val="center"/>
        <w:rPr>
          <w:spacing w:val="-2"/>
        </w:rPr>
      </w:pPr>
      <w:r>
        <w:rPr>
          <w:spacing w:val="-2"/>
        </w:rPr>
      </w:r>
    </w:p>
    <w:p>
      <w:pPr>
        <w:pStyle w:val="Nagwek1"/>
        <w:spacing w:before="480" w:after="0"/>
        <w:ind w:left="692" w:hanging="0"/>
        <w:jc w:val="center"/>
        <w:rPr>
          <w:spacing w:val="-2"/>
        </w:rPr>
      </w:pPr>
      <w:r>
        <w:rPr>
          <w:spacing w:val="-2"/>
        </w:rPr>
      </w:r>
    </w:p>
    <w:p>
      <w:pPr>
        <w:pStyle w:val="Nagwek1"/>
        <w:numPr>
          <w:ilvl w:val="0"/>
          <w:numId w:val="1"/>
        </w:numPr>
        <w:spacing w:before="480" w:after="0"/>
        <w:rPr>
          <w:spacing w:val="-2"/>
        </w:rPr>
      </w:pPr>
      <w:r>
        <w:rPr/>
        <w:t>INFORMACJE DODATKOWE</w:t>
      </w:r>
      <w:r>
        <w:rPr>
          <w:spacing w:val="-2"/>
        </w:rPr>
        <w:t>:</w:t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jc w:val="both"/>
        <w:rPr/>
      </w:pPr>
      <w:r>
        <w:rPr>
          <w:rStyle w:val="Nagwek2Znak"/>
        </w:rPr>
        <w:t>FORMY ORGANIZACYJNE (sposób realizacji mobilności oraz miejsce/nazwainstytucji przyjmującej):</w:t>
      </w:r>
    </w:p>
    <w:p>
      <w:pPr>
        <w:pStyle w:val="Normal"/>
        <w:jc w:val="both"/>
        <w:rPr/>
      </w:pPr>
      <w:r>
        <w:rPr/>
        <w:t xml:space="preserve">Miejsce: </w:t>
      </w:r>
      <w:r>
        <w:rPr/>
        <w:t xml:space="preserve">European School of English, Paceville Avenue, St </w:t>
      </w:r>
      <w:r>
        <w:rPr/>
        <w:t>J</w:t>
      </w:r>
      <w:r>
        <w:rPr/>
        <w:t>ulians, Malta</w:t>
      </w:r>
    </w:p>
    <w:p>
      <w:pPr>
        <w:pStyle w:val="Normal"/>
        <w:jc w:val="both"/>
        <w:rPr/>
      </w:pPr>
      <w:r>
        <w:rPr/>
        <w:t>Potwierdzenie: Certyfikat General English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  <w:t>Joanna Bednarczyk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tbl>
    <w:tblPr>
      <w:tblStyle w:val="Tabela-Siatka"/>
      <w:tblW w:w="928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407"/>
      <w:gridCol w:w="4880"/>
    </w:tblGrid>
    <w:tr>
      <w:trPr/>
      <w:tc>
        <w:tcPr>
          <w:tcW w:w="44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/>
          </w:pPr>
          <w:r>
            <w:rPr/>
            <w:drawing>
              <wp:inline distT="0" distB="6350" distL="0" distR="0">
                <wp:extent cx="1581150" cy="337185"/>
                <wp:effectExtent l="0" t="0" r="0" b="0"/>
                <wp:docPr id="2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7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2962275" cy="350520"/>
                <wp:effectExtent l="0" t="0" r="0" b="0"/>
                <wp:docPr id="3" name="Obraz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352550" cy="4425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b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7f7159"/>
    <w:pPr>
      <w:widowControl w:val="false"/>
      <w:spacing w:lineRule="auto" w:line="240" w:before="0" w:after="0"/>
      <w:ind w:left="307" w:hanging="0"/>
      <w:outlineLvl w:val="0"/>
    </w:pPr>
    <w:rPr>
      <w:rFonts w:ascii="Calibri" w:hAnsi="Calibri" w:eastAsia="Calibri" w:cs="Times New Roman"/>
      <w:b/>
      <w:bCs/>
      <w:sz w:val="24"/>
      <w:szCs w:val="24"/>
      <w:lang w:val="en-US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7f715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4c512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f715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f715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7159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1"/>
    <w:qFormat/>
    <w:rsid w:val="007f7159"/>
    <w:rPr>
      <w:rFonts w:ascii="Calibri" w:hAnsi="Calibri" w:eastAsia="Calibri" w:cs="Times New Roman"/>
      <w:b/>
      <w:bCs/>
      <w:sz w:val="24"/>
      <w:szCs w:val="24"/>
      <w:lang w:val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f7159"/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c512b"/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</w:rPr>
  </w:style>
  <w:style w:type="character" w:styleId="SubtleEmphasis">
    <w:name w:val="Subtle Emphasis"/>
    <w:basedOn w:val="DefaultParagraphFont"/>
    <w:uiPriority w:val="19"/>
    <w:qFormat/>
    <w:rsid w:val="007d2794"/>
    <w:rPr>
      <w:i/>
      <w:iCs/>
      <w:color w:val="72D2C2" w:themeColor="text1" w:themeTint="7f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7d2794"/>
    <w:rPr>
      <w:rFonts w:ascii="Cambria" w:hAnsi="Cambria" w:eastAsia="" w:cs="" w:asciiTheme="majorHAnsi" w:cstheme="majorBidi" w:eastAsiaTheme="majorEastAsia" w:hAnsiTheme="majorHAnsi"/>
      <w:i/>
      <w:iCs/>
      <w:color w:val="21695D" w:themeColor="accent1"/>
      <w:spacing w:val="15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/>
      <w:b/>
      <w:bCs/>
      <w:w w:val="99"/>
      <w:sz w:val="24"/>
      <w:szCs w:val="24"/>
    </w:rPr>
  </w:style>
  <w:style w:type="character" w:styleId="ListLabel17">
    <w:name w:val="ListLabel 17"/>
    <w:qFormat/>
    <w:rPr>
      <w:rFonts w:eastAsia="Symbol"/>
      <w:w w:val="46"/>
      <w:sz w:val="18"/>
      <w:szCs w:val="18"/>
    </w:rPr>
  </w:style>
  <w:style w:type="character" w:styleId="ListLabel18">
    <w:name w:val="ListLabel 18"/>
    <w:qFormat/>
    <w:rPr>
      <w:rFonts w:eastAsia="Symbol"/>
      <w:w w:val="46"/>
      <w:sz w:val="18"/>
      <w:szCs w:val="18"/>
    </w:rPr>
  </w:style>
  <w:style w:type="character" w:styleId="ListLabel19">
    <w:name w:val="ListLabel 19"/>
    <w:qFormat/>
    <w:rPr>
      <w:rFonts w:eastAsia="Calibri"/>
      <w:b/>
      <w:bCs/>
      <w:w w:val="99"/>
      <w:sz w:val="24"/>
      <w:szCs w:val="24"/>
    </w:rPr>
  </w:style>
  <w:style w:type="character" w:styleId="ListLabel20">
    <w:name w:val="ListLabel 20"/>
    <w:qFormat/>
    <w:rPr>
      <w:rFonts w:eastAsia="Symbol"/>
      <w:w w:val="46"/>
      <w:sz w:val="18"/>
      <w:szCs w:val="18"/>
    </w:rPr>
  </w:style>
  <w:style w:type="character" w:styleId="ListLabel21">
    <w:name w:val="ListLabel 21"/>
    <w:qFormat/>
    <w:rPr>
      <w:rFonts w:eastAsia="Symbol"/>
      <w:w w:val="46"/>
      <w:sz w:val="18"/>
      <w:szCs w:val="1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/>
      <w:b/>
      <w:bCs/>
      <w:w w:val="99"/>
      <w:sz w:val="24"/>
      <w:szCs w:val="24"/>
    </w:rPr>
  </w:style>
  <w:style w:type="character" w:styleId="ListLabel29">
    <w:name w:val="ListLabel 29"/>
    <w:qFormat/>
    <w:rPr>
      <w:rFonts w:eastAsia="Symbol"/>
      <w:w w:val="46"/>
      <w:sz w:val="18"/>
      <w:szCs w:val="18"/>
    </w:rPr>
  </w:style>
  <w:style w:type="character" w:styleId="ListLabel30">
    <w:name w:val="ListLabel 30"/>
    <w:qFormat/>
    <w:rPr>
      <w:rFonts w:eastAsia="Symbol"/>
      <w:w w:val="46"/>
      <w:sz w:val="18"/>
      <w:szCs w:val="18"/>
    </w:rPr>
  </w:style>
  <w:style w:type="character" w:styleId="ListLabel31">
    <w:name w:val="ListLabel 31"/>
    <w:qFormat/>
    <w:rPr>
      <w:rFonts w:ascii="Calibri" w:hAnsi="Calibri" w:eastAsia="Calibri" w:cs="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f71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f71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71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159"/>
    <w:pPr>
      <w:spacing w:before="0" w:after="200"/>
      <w:ind w:left="720" w:hanging="0"/>
      <w:contextualSpacing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7d2794"/>
    <w:pPr/>
    <w:rPr>
      <w:rFonts w:ascii="Cambria" w:hAnsi="Cambria" w:eastAsia="" w:cs="" w:asciiTheme="majorHAnsi" w:cstheme="majorBidi" w:eastAsiaTheme="majorEastAsia" w:hAnsiTheme="majorHAnsi"/>
      <w:i/>
      <w:iCs/>
      <w:color w:val="21695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f71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21695D"/>
      </a:dk1>
      <a:lt1>
        <a:sysClr val="window" lastClr="FFFFFF"/>
      </a:lt1>
      <a:dk2>
        <a:srgbClr val="21695D"/>
      </a:dk2>
      <a:lt2>
        <a:srgbClr val="ADE5B2"/>
      </a:lt2>
      <a:accent1>
        <a:srgbClr val="21695D"/>
      </a:accent1>
      <a:accent2>
        <a:srgbClr val="CF543F"/>
      </a:accent2>
      <a:accent3>
        <a:srgbClr val="7CD685"/>
      </a:accent3>
      <a:accent4>
        <a:srgbClr val="21695D"/>
      </a:accent4>
      <a:accent5>
        <a:srgbClr val="7CD685"/>
      </a:accent5>
      <a:accent6>
        <a:srgbClr val="595959"/>
      </a:accent6>
      <a:hlink>
        <a:srgbClr val="7CD685"/>
      </a:hlink>
      <a:folHlink>
        <a:srgbClr val="ADE5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FE39-8EC2-4F54-B093-84E5680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LibreOffice/6.2.2.2$Windows_X86_64 LibreOffice_project/2b840030fec2aae0fd2658d8d4f9548af4e3518d</Application>
  <Pages>4</Pages>
  <Words>220</Words>
  <Characters>1546</Characters>
  <CharactersWithSpaces>1715</CharactersWithSpaces>
  <Paragraphs>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2021-11-23T15:58:00Z</dcterms:created>
  <dc:creator>Ewa Witkowska</dc:creator>
  <dc:description/>
  <dc:language>pl-PL</dc:language>
  <cp:lastModifiedBy/>
  <dcterms:modified xsi:type="dcterms:W3CDTF">2021-11-24T07:07:06Z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