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  <w:r w:rsidR="001D3F83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6"/>
          <w:szCs w:val="26"/>
        </w:rPr>
      </w:pPr>
    </w:p>
    <w:p w:rsidR="00A51D47" w:rsidRPr="00A51D47" w:rsidRDefault="00A51D47" w:rsidP="00A51D47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18.05.2020r.</w:t>
      </w: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sz w:val="32"/>
          <w:szCs w:val="32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NOWY DZIAŁ:     </w:t>
      </w:r>
      <w:r w:rsidRPr="00A51D47">
        <w:rPr>
          <w:rFonts w:ascii="Cambria" w:eastAsia="Calibri" w:hAnsi="Cambria" w:cs="Times New Roman"/>
          <w:sz w:val="32"/>
          <w:szCs w:val="32"/>
        </w:rPr>
        <w:t>TERMODYNAMIKA</w:t>
      </w:r>
    </w:p>
    <w:p w:rsidR="0036062A" w:rsidRPr="00A51D47" w:rsidRDefault="0036062A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Temat:  ENERGIA WEWNĄTRZNA I TEMPERATURA. 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1.  Przeczytaj uważnie temat lekcji ze stron 226 - 231 w podręczniku.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2. Obejrzyj film: 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https://www.youtube.com/watch?v=GNu7l5XDKXU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3.  Zapoznaj się z treścią e-podręcznika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https://epodreczniki.pl/a/temperatura-i-jej-zwiazek-z-energia-kinetyczna-czasteczek/DEGL3qQup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Wielkość fizyczna zwana temperaturą związana jest ze średnią energią kinetyczną atomów i cząsteczek – dwa ciała mają taką samą temperaturę, jeśli średnia energia kinetyczna ich atomów lub cząsteczek jest taka sama. Ciała o wyższej temperaturze mają większą wartość średniej energii kinetycznej atomów i cząsteczek.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W skali Kelvina (zwanej też bezwzględną skalą temperatur) temperatura jest wprost proporcjonalna do średniej energii kinetycznej atomów lub cząsteczek.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W skali Celsjusza punktem zerowym jest temperatura, w której woda zamarza, a 100 stopni oznacza temperaturę, w której woda wrze przy normalnym ciśnieniu atmosferycznym.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Zero kelwinów (inaczej zero bezwzględne) jest najniższą możliwą temperaturą w przyrodzie, w tej temperaturze średnia energia kinetyczna atomów i cząsteczek jest równa zero (atomy i cząsteczki są w bezruchu).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>-  Temperaturę odczytaną w stopniach Celsjusza przeliczamy na kelwiny poprzez dodanie liczby 273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>Kelvina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 xml:space="preserve">= </w:t>
      </w: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>Celsjusza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+273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 xml:space="preserve">Celsjusza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=</w:t>
      </w:r>
      <w:r w:rsidRPr="00A51D47">
        <w:rPr>
          <w:rFonts w:ascii="Cambria" w:eastAsia="Times New Roman" w:hAnsi="Cambria" w:cs="Times New Roman"/>
          <w:i/>
          <w:iCs/>
          <w:color w:val="FF0000"/>
          <w:sz w:val="36"/>
          <w:szCs w:val="36"/>
          <w:lang w:eastAsia="pl-PL"/>
        </w:rPr>
        <w:t xml:space="preserve"> T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bscript"/>
          <w:lang w:eastAsia="pl-PL"/>
        </w:rPr>
        <w:t xml:space="preserve">Kelvina 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-273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</w:p>
    <w:p w:rsidR="00A51D47" w:rsidRPr="00A51D47" w:rsidRDefault="00A51D47" w:rsidP="00A51D47">
      <w:pPr>
        <w:spacing w:after="0" w:line="240" w:lineRule="auto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Przykład: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25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perscript"/>
          <w:lang w:eastAsia="pl-PL"/>
        </w:rPr>
        <w:t>0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C= (25+273)K = 298 K</w:t>
      </w:r>
    </w:p>
    <w:p w:rsidR="00A51D47" w:rsidRPr="00A51D47" w:rsidRDefault="00A51D47" w:rsidP="00A51D47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</w:pP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lastRenderedPageBreak/>
        <w:t>400 K= (400-273)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perscript"/>
          <w:lang w:eastAsia="pl-PL"/>
        </w:rPr>
        <w:t>0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C= 127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vertAlign w:val="superscript"/>
          <w:lang w:eastAsia="pl-PL"/>
        </w:rPr>
        <w:t>0</w:t>
      </w:r>
      <w:r w:rsidRPr="00A51D47">
        <w:rPr>
          <w:rFonts w:ascii="Cambria" w:eastAsia="Times New Roman" w:hAnsi="Cambria" w:cs="Times New Roman"/>
          <w:color w:val="FF0000"/>
          <w:sz w:val="36"/>
          <w:szCs w:val="36"/>
          <w:lang w:eastAsia="pl-PL"/>
        </w:rPr>
        <w:t>C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 xml:space="preserve">-  </w:t>
      </w:r>
      <w:r w:rsidRPr="00A51D47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Różnica</w:t>
      </w:r>
      <w:r w:rsidRPr="00A51D47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temperatur ma taką samą wartość zarówno skali Celsjusza, jak i w skali bezwzględnej.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4. Wykonaj notatkę możesz posiłkować się „to najważniejsze” ze str. 231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5. Zadanie do przepisania w zeszycie:</w:t>
      </w:r>
    </w:p>
    <w:p w:rsidR="00A51D47" w:rsidRPr="00A51D47" w:rsidRDefault="00A51D47" w:rsidP="00A51D4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t>Temperatura na zewnątrz budynku wynosi –5°C, a w pokoju 22°C.</w:t>
      </w: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br/>
        <w:t>Różnica temperatur to 22°C−(−5°C)=27°C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br/>
        <w:t>Ile to kelwinów? Przeprowadźmy obliczenia:</w:t>
      </w:r>
    </w:p>
    <w:p w:rsidR="00A51D47" w:rsidRPr="00A51D47" w:rsidRDefault="00A51D47" w:rsidP="00A51D4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AAD1BC7" wp14:editId="6BED2F5B">
            <wp:simplePos x="0" y="0"/>
            <wp:positionH relativeFrom="page">
              <wp:posOffset>4500245</wp:posOffset>
            </wp:positionH>
            <wp:positionV relativeFrom="margin">
              <wp:posOffset>3724275</wp:posOffset>
            </wp:positionV>
            <wp:extent cx="2693035" cy="3028315"/>
            <wp:effectExtent l="0" t="0" r="0" b="635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t>(22+273) K–(–5+273) K=(22+273+5–273) K=27 K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sz w:val="28"/>
          <w:szCs w:val="28"/>
          <w:lang w:eastAsia="pl-PL"/>
        </w:rPr>
        <w:t>Widzimy, że jeden stopień na skali temperatur Celsjusza jest zawsze równy jednemu kelwinowi. Skala Kelvina jest oparta na skali Celsjusza i jedyna różnica między nimi polega na przesunięciu wartości liczbowych w obydwu skalach względem siebie o stałą wartość.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Pamiętaj o twórcach trzech </w:t>
      </w:r>
      <w:proofErr w:type="spellStart"/>
      <w:r w:rsidRPr="00A51D47">
        <w:rPr>
          <w:rFonts w:ascii="Cambria" w:eastAsia="Calibri" w:hAnsi="Cambria" w:cs="Times New Roman"/>
          <w:sz w:val="28"/>
          <w:szCs w:val="28"/>
        </w:rPr>
        <w:t>skal</w:t>
      </w:r>
      <w:proofErr w:type="spellEnd"/>
      <w:r w:rsidRPr="00A51D47">
        <w:rPr>
          <w:rFonts w:ascii="Cambria" w:eastAsia="Calibri" w:hAnsi="Cambria" w:cs="Times New Roman"/>
          <w:sz w:val="28"/>
          <w:szCs w:val="28"/>
        </w:rPr>
        <w:t xml:space="preserve"> temperatur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KELVIN, FAHRENHEIT, CELSJUSZ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ZADANIA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Wykonaj zadania 1,2,3,4,5 podręcznik str. 231-232.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Poproszę o przesłanie zdjęcia zadania 3 najpóźniej do dnia 19 maja.</w:t>
      </w: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A51D47" w:rsidRPr="00A51D47" w:rsidRDefault="00A51D47" w:rsidP="00A51D47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21.05.2020r.</w:t>
      </w:r>
    </w:p>
    <w:p w:rsid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Temat:  ZMIANY ENERGII WEWNTĘTRZNEJ W WYNIKU PRACY I PRZEPŁYWU CIEPŁA 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1.  Przeczytaj uważnie temat lekcji ze stron 233 - 236 w podręczniku.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2. Obejrzyj film: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lastRenderedPageBreak/>
        <w:t xml:space="preserve"> </w:t>
      </w:r>
      <w:hyperlink r:id="rId8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https://www.youtube.com/watch?v=R0ljRiA3byQ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3.  Zapoznaj się z treścią e-podręcznika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hyperlink r:id="rId9" w:history="1">
        <w:r w:rsidRPr="00A51D47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https://epodreczniki.pl/a/energia-wewnetrzna-cieplo-zmiany-energii-wewnetrznej-spowodowane-wykonywaniem-pracy-i-przeplywem-ciepla/DftmAW6ae</w:t>
        </w:r>
      </w:hyperlink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4. Wykonaj notatkę możesz wykorzystać się „to najważniejsze” ze str. 236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Energia wewnętrzna ciała to suma energii kinetycznych i potencjalnych wszystkich atomów lub cząsteczek tworzących to ciało.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Wartość energii wewnętrznej zależy od:</w:t>
      </w:r>
    </w:p>
    <w:p w:rsidR="00A51D47" w:rsidRPr="00A51D47" w:rsidRDefault="00A51D47" w:rsidP="00A51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liczby atomów lub cząsteczek tworzących to ciało – więcej cząsteczek to więcej składników sumy;</w:t>
      </w:r>
    </w:p>
    <w:p w:rsidR="00A51D47" w:rsidRPr="00A51D47" w:rsidRDefault="00A51D47" w:rsidP="00A51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temperatury ciała – wyższa temperatura to większa wartość średniej energii kinetycznej cząsteczek;</w:t>
      </w:r>
    </w:p>
    <w:p w:rsidR="00A51D47" w:rsidRPr="00A51D47" w:rsidRDefault="00A51D47" w:rsidP="00A51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rodzaju substancji i stanu jej skupienia – wielkość energii potencjalnej pochodzącej od oddziaływań międzycząsteczkowych zmienia się wraz ze stanem skupienia i jest różna w przypadku różnych substancji.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Pierwsza zasada termodynamiki głosi, że zmiany energii wewnętrznej ciała wywoływane są pracą oraz cieplnym przepływem energii. Całkowita zmiana energii wewnętrznej jest sumą zmian wywołanych pracą i wymianą ciepła z otoczeniem.</w:t>
      </w:r>
    </w:p>
    <w:p w:rsidR="00A51D47" w:rsidRPr="00A51D47" w:rsidRDefault="00A51D47" w:rsidP="00A51D4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</w:pPr>
      <w:r w:rsidRPr="00A51D47">
        <w:rPr>
          <w:rFonts w:ascii="Cambria" w:eastAsia="Times New Roman" w:hAnsi="Cambria" w:cs="Times New Roman"/>
          <w:color w:val="833C0B" w:themeColor="accent2" w:themeShade="80"/>
          <w:sz w:val="28"/>
          <w:szCs w:val="28"/>
          <w:lang w:eastAsia="pl-PL"/>
        </w:rPr>
        <w:t>-  Praca wykonana przez ciało przeciwko sile tarcia może spowodować wzrost jego energii wewnętrznej. Przykładem takiej sytuacji może być pocieranie rąk lub rozniecanie ognia metodą pocierania o siebie dwóch odpowiednio przygotowanych suchych drewienek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 xml:space="preserve">5.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Pierwsza zasada termodynamiki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Jeżeli praca wykonana nad ciałem prowadzi w całości do przyrostu energii wewnętrznej, to całkowity przyrost energii wewnętrznej ciała jest równy sumie pracy wykonanej nad ciałem  i pobranego ciepła.</w:t>
      </w: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40"/>
          <w:szCs w:val="40"/>
        </w:rPr>
      </w:pP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40"/>
          <w:szCs w:val="40"/>
        </w:rPr>
      </w:pPr>
      <w:r w:rsidRPr="00A51D47">
        <w:rPr>
          <w:rFonts w:ascii="Cambria" w:eastAsia="Calibri" w:hAnsi="Cambria" w:cs="Times New Roman"/>
          <w:color w:val="FF0000"/>
          <w:sz w:val="40"/>
          <w:szCs w:val="40"/>
        </w:rPr>
        <w:t>∆E</w:t>
      </w:r>
      <w:r w:rsidRPr="00A51D47">
        <w:rPr>
          <w:rFonts w:ascii="Cambria" w:eastAsia="Calibri" w:hAnsi="Cambria" w:cs="Times New Roman"/>
          <w:color w:val="FF0000"/>
          <w:sz w:val="40"/>
          <w:szCs w:val="40"/>
          <w:vertAlign w:val="subscript"/>
        </w:rPr>
        <w:t xml:space="preserve">w </w:t>
      </w:r>
      <w:r w:rsidRPr="00A51D47">
        <w:rPr>
          <w:rFonts w:ascii="Cambria" w:eastAsia="Calibri" w:hAnsi="Cambria" w:cs="Times New Roman"/>
          <w:color w:val="FF0000"/>
          <w:sz w:val="40"/>
          <w:szCs w:val="40"/>
        </w:rPr>
        <w:t>= W + Q</w:t>
      </w: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40"/>
          <w:szCs w:val="40"/>
        </w:rPr>
      </w:pPr>
    </w:p>
    <w:p w:rsidR="00A51D47" w:rsidRPr="00A51D47" w:rsidRDefault="00A51D47" w:rsidP="00A51D47">
      <w:pPr>
        <w:spacing w:line="256" w:lineRule="auto"/>
        <w:jc w:val="center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Gdzie: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  <w:t xml:space="preserve"> ∆E</w:t>
      </w:r>
      <w:r w:rsidRPr="00A51D47">
        <w:rPr>
          <w:rFonts w:ascii="Cambria" w:eastAsia="Calibri" w:hAnsi="Cambria" w:cs="Times New Roman"/>
          <w:color w:val="FF0000"/>
          <w:sz w:val="28"/>
          <w:szCs w:val="28"/>
          <w:vertAlign w:val="subscript"/>
        </w:rPr>
        <w:t xml:space="preserve">w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–</w:t>
      </w:r>
      <w:r w:rsidRPr="00A51D47">
        <w:rPr>
          <w:rFonts w:ascii="Cambria" w:eastAsia="Calibri" w:hAnsi="Cambria" w:cs="Times New Roman"/>
          <w:color w:val="FF0000"/>
          <w:sz w:val="28"/>
          <w:szCs w:val="28"/>
          <w:vertAlign w:val="subscript"/>
        </w:rPr>
        <w:t xml:space="preserve">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zmiana energii wewnętrznej</w:t>
      </w:r>
      <w:r w:rsidRPr="00A51D47">
        <w:rPr>
          <w:rFonts w:ascii="Cambria" w:eastAsia="Calibri" w:hAnsi="Cambria" w:cs="Times New Roman"/>
          <w:color w:val="FF0000"/>
          <w:sz w:val="28"/>
          <w:szCs w:val="28"/>
          <w:vertAlign w:val="subscript"/>
        </w:rPr>
        <w:t xml:space="preserve">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 xml:space="preserve">   W – praca wykonana nad ciałem   </w:t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</w:r>
      <w:r w:rsidRPr="00A51D47">
        <w:rPr>
          <w:rFonts w:ascii="Cambria" w:eastAsia="Calibri" w:hAnsi="Cambria" w:cs="Times New Roman"/>
          <w:color w:val="FF0000"/>
          <w:sz w:val="28"/>
          <w:szCs w:val="28"/>
        </w:rPr>
        <w:tab/>
        <w:t>Q – ilość ciepła pobranego przez ciało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lastRenderedPageBreak/>
        <w:t>Jednostką jest Dżul 1J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6. ZADANIE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51D47">
        <w:rPr>
          <w:rFonts w:ascii="Cambria" w:eastAsia="Calibri" w:hAnsi="Cambria" w:cs="Times New Roman"/>
          <w:sz w:val="28"/>
          <w:szCs w:val="28"/>
        </w:rPr>
        <w:t>Wykonaj zadania 1,2podręcznik str. 236-237.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A51D47">
        <w:rPr>
          <w:rFonts w:ascii="Cambria" w:eastAsia="Calibri" w:hAnsi="Cambria" w:cs="Times New Roman"/>
          <w:color w:val="FF0000"/>
          <w:sz w:val="28"/>
          <w:szCs w:val="28"/>
        </w:rPr>
        <w:t>Poproszę o przesłanie zdjęcia notatki najpóźniej do dnia 24 maja.</w:t>
      </w: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51D47" w:rsidRPr="00A51D47" w:rsidRDefault="00A51D47" w:rsidP="00A51D47">
      <w:pPr>
        <w:spacing w:line="256" w:lineRule="auto"/>
        <w:rPr>
          <w:rFonts w:ascii="Cambria" w:eastAsia="Calibri" w:hAnsi="Cambria" w:cs="Times New Roman"/>
          <w:color w:val="FF0000"/>
          <w:sz w:val="26"/>
          <w:szCs w:val="26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408BD"/>
    <w:multiLevelType w:val="multilevel"/>
    <w:tmpl w:val="C70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D3F83"/>
    <w:rsid w:val="001F3999"/>
    <w:rsid w:val="0036062A"/>
    <w:rsid w:val="005D07FD"/>
    <w:rsid w:val="00961567"/>
    <w:rsid w:val="00991AC0"/>
    <w:rsid w:val="00A51D47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77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ljRiA3b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emperatura-i-jej-zwiazek-z-energia-kinetyczna-czasteczek/DEGL3qQ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Nu7l5XDK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energia-wewnetrzna-cieplo-zmiany-energii-wewnetrznej-spowodowane-wykonywaniem-pracy-i-przeplywem-ciepla/DftmAW6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2020-05-18T06:12:00Z</dcterms:created>
  <dcterms:modified xsi:type="dcterms:W3CDTF">2020-05-18T06:12:00Z</dcterms:modified>
</cp:coreProperties>
</file>