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>Wczoraj i dziś kl. 7 EDYCJA</w:t>
      </w:r>
      <w:r w:rsidR="00FD6E93">
        <w:rPr>
          <w:rFonts w:cstheme="minorHAnsi"/>
          <w:b/>
          <w:sz w:val="20"/>
          <w:szCs w:val="20"/>
        </w:rPr>
        <w:t xml:space="preserve"> 2020-2022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Mikołaja 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okres konstytucyjny Królestwa Polskiego – ustrój, osiągnięcia 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poczynania władz 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zmiany ustrojowe w 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przyczyny i skutki 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program 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wybuchu Wiosny Ludów na ziemiach polskich pod 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Fryderyk Chopin, Adam Mickiewicz, Juliusz 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społeczeństwo industrialne, anarchizm, 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nurty w literaturze, malarstwie, muzyce i architekturze 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założenia teorii 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dokonuje charakterystyki działań powstańczych z uwzględnieniem, 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przykłady 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aresztowania Romualda Traugutta (IV 1864), objęcia dyktatury przez Mariana Langiewicza (III 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inne narodowości na 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zniesienia granicy celnej z Rosją 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Socjaldemokracji Królestwa Polskiego (1893), 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nowych 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faszyzm, marsz na Rzym, narodowy socjalizm (nazizm), system monopartyjny, propaganda, totalitaryzm, autorytaryzm, antysemityzm, ustawy norymberskie, „noc długich noży”, obóz koncentracyjny, „noc kryształowa”, hitlerjugend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oblicza totalitaryzmu (włoskiego faszyzmu, niemieckiego 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proces wykuwania granic: wersalskie 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ekspansji ukraińskiej 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>Maurycego Zamoyskiego, Jana Baudouin de Courtenaya;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21301A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A0" w:rsidRDefault="006933A0" w:rsidP="00254330">
      <w:pPr>
        <w:spacing w:after="0" w:line="240" w:lineRule="auto"/>
      </w:pPr>
      <w:r>
        <w:separator/>
      </w:r>
    </w:p>
  </w:endnote>
  <w:endnote w:type="continuationSeparator" w:id="0">
    <w:p w:rsidR="006933A0" w:rsidRDefault="006933A0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F4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A0" w:rsidRDefault="006933A0" w:rsidP="00254330">
      <w:pPr>
        <w:spacing w:after="0" w:line="240" w:lineRule="auto"/>
      </w:pPr>
      <w:r>
        <w:separator/>
      </w:r>
    </w:p>
  </w:footnote>
  <w:footnote w:type="continuationSeparator" w:id="0">
    <w:p w:rsidR="006933A0" w:rsidRDefault="006933A0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1301A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33A0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4068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04CBC-03C9-4FB4-8F66-71809547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11365</Words>
  <Characters>68196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Laptop2</cp:lastModifiedBy>
  <cp:revision>2</cp:revision>
  <dcterms:created xsi:type="dcterms:W3CDTF">2021-03-14T12:02:00Z</dcterms:created>
  <dcterms:modified xsi:type="dcterms:W3CDTF">2021-03-14T12:02:00Z</dcterms:modified>
</cp:coreProperties>
</file>